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45584C" w:rsidRDefault="0045584C" w:rsidP="0045584C">
      <w:pPr>
        <w:jc w:val="center"/>
        <w:rPr>
          <w:b/>
          <w:sz w:val="32"/>
          <w:szCs w:val="32"/>
          <w:u w:val="single"/>
        </w:rPr>
      </w:pPr>
      <w:r w:rsidRPr="0045584C">
        <w:rPr>
          <w:b/>
          <w:sz w:val="32"/>
          <w:szCs w:val="32"/>
          <w:u w:val="single"/>
        </w:rPr>
        <w:t>Physical Science NCFE Guided Review 2.3</w:t>
      </w:r>
    </w:p>
    <w:p w:rsidR="0045584C" w:rsidRDefault="0045584C" w:rsidP="0045584C">
      <w:pPr>
        <w:jc w:val="center"/>
      </w:pPr>
      <w:r>
        <w:t>(Nuclear Reactions)</w:t>
      </w:r>
    </w:p>
    <w:p w:rsidR="0045584C" w:rsidRDefault="0045584C" w:rsidP="0045584C">
      <w:pPr>
        <w:jc w:val="center"/>
      </w:pPr>
    </w:p>
    <w:p w:rsidR="0045584C" w:rsidRDefault="0045584C" w:rsidP="004558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45584C">
        <w:rPr>
          <w:rFonts w:ascii="Times New Roman" w:hAnsi="Times New Roman" w:cs="Times New Roman"/>
          <w:b/>
        </w:rPr>
        <w:t>PSc.2.3.1 Compare nuclear reactions including: alpha decay, beta decay, and gamma decay; nuclear fusion and nuclear fission.</w:t>
      </w:r>
    </w:p>
    <w:p w:rsidR="0045584C" w:rsidRDefault="0045584C" w:rsidP="0045584C">
      <w:r>
        <w:t xml:space="preserve">Describe the characteristics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03"/>
        <w:gridCol w:w="1429"/>
        <w:gridCol w:w="2007"/>
        <w:gridCol w:w="2404"/>
      </w:tblGrid>
      <w:tr w:rsidR="0045584C" w:rsidTr="0045584C">
        <w:tc>
          <w:tcPr>
            <w:tcW w:w="1513" w:type="dxa"/>
            <w:tcBorders>
              <w:top w:val="nil"/>
              <w:left w:val="nil"/>
            </w:tcBorders>
          </w:tcPr>
          <w:p w:rsidR="0045584C" w:rsidRDefault="0045584C" w:rsidP="0045584C"/>
        </w:tc>
        <w:tc>
          <w:tcPr>
            <w:tcW w:w="1503" w:type="dxa"/>
          </w:tcPr>
          <w:p w:rsidR="0045584C" w:rsidRDefault="0045584C" w:rsidP="0045584C">
            <w:r>
              <w:t>Symbol</w:t>
            </w:r>
          </w:p>
        </w:tc>
        <w:tc>
          <w:tcPr>
            <w:tcW w:w="1429" w:type="dxa"/>
          </w:tcPr>
          <w:p w:rsidR="0045584C" w:rsidRDefault="0045584C" w:rsidP="0045584C">
            <w:r>
              <w:t>Change in Mass</w:t>
            </w:r>
          </w:p>
        </w:tc>
        <w:tc>
          <w:tcPr>
            <w:tcW w:w="2007" w:type="dxa"/>
          </w:tcPr>
          <w:p w:rsidR="0045584C" w:rsidRDefault="0045584C" w:rsidP="0045584C">
            <w:r>
              <w:t>Change in Charge</w:t>
            </w:r>
          </w:p>
        </w:tc>
        <w:tc>
          <w:tcPr>
            <w:tcW w:w="2404" w:type="dxa"/>
          </w:tcPr>
          <w:p w:rsidR="0045584C" w:rsidRDefault="0045584C" w:rsidP="0045584C">
            <w:r>
              <w:t xml:space="preserve">Shielding / </w:t>
            </w:r>
          </w:p>
          <w:p w:rsidR="0045584C" w:rsidRDefault="0045584C" w:rsidP="0045584C">
            <w:r>
              <w:t xml:space="preserve">Penetrating ability </w:t>
            </w:r>
          </w:p>
        </w:tc>
      </w:tr>
      <w:tr w:rsidR="0045584C" w:rsidTr="0045584C">
        <w:tc>
          <w:tcPr>
            <w:tcW w:w="1513" w:type="dxa"/>
          </w:tcPr>
          <w:p w:rsidR="0045584C" w:rsidRDefault="0045584C" w:rsidP="0045584C">
            <w:r>
              <w:t>Alpha</w:t>
            </w:r>
          </w:p>
          <w:p w:rsidR="0045584C" w:rsidRDefault="0045584C" w:rsidP="0045584C"/>
        </w:tc>
        <w:tc>
          <w:tcPr>
            <w:tcW w:w="1503" w:type="dxa"/>
          </w:tcPr>
          <w:p w:rsidR="0045584C" w:rsidRDefault="0045584C" w:rsidP="0045584C"/>
        </w:tc>
        <w:tc>
          <w:tcPr>
            <w:tcW w:w="1429" w:type="dxa"/>
          </w:tcPr>
          <w:p w:rsidR="0045584C" w:rsidRDefault="0045584C" w:rsidP="0045584C"/>
        </w:tc>
        <w:tc>
          <w:tcPr>
            <w:tcW w:w="2007" w:type="dxa"/>
          </w:tcPr>
          <w:p w:rsidR="0045584C" w:rsidRDefault="0045584C" w:rsidP="0045584C"/>
        </w:tc>
        <w:tc>
          <w:tcPr>
            <w:tcW w:w="2404" w:type="dxa"/>
          </w:tcPr>
          <w:p w:rsidR="0045584C" w:rsidRDefault="0045584C" w:rsidP="0045584C"/>
        </w:tc>
      </w:tr>
      <w:tr w:rsidR="0045584C" w:rsidTr="0045584C">
        <w:tc>
          <w:tcPr>
            <w:tcW w:w="1513" w:type="dxa"/>
          </w:tcPr>
          <w:p w:rsidR="0045584C" w:rsidRDefault="0045584C" w:rsidP="0045584C">
            <w:r>
              <w:t>Beta</w:t>
            </w:r>
          </w:p>
          <w:p w:rsidR="0045584C" w:rsidRDefault="0045584C" w:rsidP="0045584C"/>
        </w:tc>
        <w:tc>
          <w:tcPr>
            <w:tcW w:w="1503" w:type="dxa"/>
          </w:tcPr>
          <w:p w:rsidR="0045584C" w:rsidRDefault="0045584C" w:rsidP="0045584C"/>
        </w:tc>
        <w:tc>
          <w:tcPr>
            <w:tcW w:w="1429" w:type="dxa"/>
          </w:tcPr>
          <w:p w:rsidR="0045584C" w:rsidRDefault="0045584C" w:rsidP="0045584C"/>
        </w:tc>
        <w:tc>
          <w:tcPr>
            <w:tcW w:w="2007" w:type="dxa"/>
          </w:tcPr>
          <w:p w:rsidR="0045584C" w:rsidRDefault="0045584C" w:rsidP="0045584C"/>
        </w:tc>
        <w:tc>
          <w:tcPr>
            <w:tcW w:w="2404" w:type="dxa"/>
          </w:tcPr>
          <w:p w:rsidR="0045584C" w:rsidRDefault="0045584C" w:rsidP="0045584C"/>
        </w:tc>
      </w:tr>
      <w:tr w:rsidR="0045584C" w:rsidTr="0045584C">
        <w:tc>
          <w:tcPr>
            <w:tcW w:w="1513" w:type="dxa"/>
          </w:tcPr>
          <w:p w:rsidR="0045584C" w:rsidRDefault="0045584C" w:rsidP="0045584C">
            <w:r>
              <w:t>Gamma</w:t>
            </w:r>
          </w:p>
          <w:p w:rsidR="0045584C" w:rsidRDefault="0045584C" w:rsidP="0045584C"/>
        </w:tc>
        <w:tc>
          <w:tcPr>
            <w:tcW w:w="1503" w:type="dxa"/>
          </w:tcPr>
          <w:p w:rsidR="0045584C" w:rsidRDefault="0045584C" w:rsidP="0045584C"/>
        </w:tc>
        <w:tc>
          <w:tcPr>
            <w:tcW w:w="1429" w:type="dxa"/>
          </w:tcPr>
          <w:p w:rsidR="0045584C" w:rsidRDefault="0045584C" w:rsidP="0045584C"/>
        </w:tc>
        <w:tc>
          <w:tcPr>
            <w:tcW w:w="2007" w:type="dxa"/>
          </w:tcPr>
          <w:p w:rsidR="0045584C" w:rsidRDefault="0045584C" w:rsidP="0045584C"/>
        </w:tc>
        <w:tc>
          <w:tcPr>
            <w:tcW w:w="2404" w:type="dxa"/>
          </w:tcPr>
          <w:p w:rsidR="0045584C" w:rsidRDefault="0045584C" w:rsidP="0045584C"/>
        </w:tc>
      </w:tr>
    </w:tbl>
    <w:p w:rsidR="0045584C" w:rsidRDefault="0045584C" w:rsidP="0045584C"/>
    <w:p w:rsidR="0045584C" w:rsidRDefault="0045584C" w:rsidP="0045584C">
      <w:r>
        <w:t>Predict the products of the nuclear reactions:</w:t>
      </w:r>
    </w:p>
    <w:p w:rsidR="0045584C" w:rsidRDefault="0045584C" w:rsidP="0045584C"/>
    <w:p w:rsidR="0045584C" w:rsidRDefault="0045584C" w:rsidP="0045584C">
      <w:pPr>
        <w:suppressAutoHyphens/>
        <w:jc w:val="both"/>
        <w:rPr>
          <w:spacing w:val="-3"/>
        </w:rPr>
      </w:pPr>
      <w:r>
        <w:rPr>
          <w:spacing w:val="-3"/>
          <w:vertAlign w:val="subscript"/>
        </w:rPr>
        <w:t xml:space="preserve">    </w:t>
      </w:r>
      <w:proofErr w:type="gramStart"/>
      <w:r>
        <w:rPr>
          <w:spacing w:val="-3"/>
        </w:rPr>
        <w:t xml:space="preserve">a)       </w:t>
      </w:r>
      <w:r>
        <w:rPr>
          <w:spacing w:val="-3"/>
          <w:vertAlign w:val="superscript"/>
        </w:rPr>
        <w:t>226</w:t>
      </w:r>
      <w:r>
        <w:rPr>
          <w:spacing w:val="-3"/>
        </w:rPr>
        <w:t>Ra</w:t>
      </w:r>
      <w:proofErr w:type="gramEnd"/>
      <w:r>
        <w:rPr>
          <w:spacing w:val="-3"/>
        </w:rPr>
        <w:t xml:space="preserve">    </w:t>
      </w:r>
      <w:r>
        <w:rPr>
          <w:noProof/>
          <w:spacing w:val="-3"/>
        </w:rPr>
        <w:sym w:font="Wingdings" w:char="F0E0"/>
      </w:r>
      <w:r>
        <w:rPr>
          <w:spacing w:val="-3"/>
        </w:rPr>
        <w:t xml:space="preserve">     </w:t>
      </w:r>
      <w:r>
        <w:rPr>
          <w:spacing w:val="-3"/>
          <w:vertAlign w:val="superscript"/>
        </w:rPr>
        <w:t>222</w:t>
      </w:r>
      <w:r>
        <w:rPr>
          <w:spacing w:val="-3"/>
        </w:rPr>
        <w:t xml:space="preserve">Rn + </w:t>
      </w:r>
    </w:p>
    <w:p w:rsidR="0045584C" w:rsidRDefault="0045584C" w:rsidP="0045584C">
      <w:pPr>
        <w:suppressAutoHyphens/>
        <w:rPr>
          <w:spacing w:val="-3"/>
          <w:vertAlign w:val="superscript"/>
        </w:rPr>
      </w:pPr>
      <w:r>
        <w:rPr>
          <w:spacing w:val="-3"/>
        </w:rPr>
        <w:t xml:space="preserve">               </w:t>
      </w:r>
      <w:r>
        <w:rPr>
          <w:spacing w:val="-3"/>
          <w:vertAlign w:val="superscript"/>
        </w:rPr>
        <w:t xml:space="preserve">88                                86                                                                                        </w:t>
      </w:r>
    </w:p>
    <w:p w:rsidR="0045584C" w:rsidRDefault="0045584C" w:rsidP="0045584C">
      <w:pPr>
        <w:suppressAutoHyphens/>
        <w:jc w:val="both"/>
        <w:rPr>
          <w:spacing w:val="-3"/>
        </w:rPr>
      </w:pPr>
    </w:p>
    <w:p w:rsidR="0045584C" w:rsidRDefault="0045584C" w:rsidP="0045584C">
      <w:pPr>
        <w:suppressAutoHyphens/>
        <w:jc w:val="both"/>
        <w:rPr>
          <w:spacing w:val="-3"/>
          <w:vertAlign w:val="subscript"/>
        </w:rPr>
      </w:pPr>
      <w:r>
        <w:rPr>
          <w:spacing w:val="-3"/>
          <w:vertAlign w:val="subscript"/>
        </w:rPr>
        <w:t xml:space="preserve">           232                     </w:t>
      </w:r>
      <w:proofErr w:type="spellStart"/>
      <w:r>
        <w:rPr>
          <w:spacing w:val="-3"/>
          <w:vertAlign w:val="subscript"/>
        </w:rPr>
        <w:t>232</w:t>
      </w:r>
      <w:proofErr w:type="spellEnd"/>
      <w:r>
        <w:rPr>
          <w:spacing w:val="-3"/>
          <w:vertAlign w:val="subscript"/>
        </w:rPr>
        <w:t xml:space="preserve">                                                                                       </w:t>
      </w:r>
    </w:p>
    <w:p w:rsidR="0045584C" w:rsidRDefault="0045584C" w:rsidP="0045584C">
      <w:pPr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  <w:proofErr w:type="gramStart"/>
      <w:r>
        <w:rPr>
          <w:spacing w:val="-3"/>
        </w:rPr>
        <w:t xml:space="preserve">b)      </w:t>
      </w:r>
      <w:proofErr w:type="spellStart"/>
      <w:r>
        <w:rPr>
          <w:spacing w:val="-3"/>
        </w:rPr>
        <w:t>Th</w:t>
      </w:r>
      <w:proofErr w:type="spellEnd"/>
      <w:proofErr w:type="gramEnd"/>
      <w:r>
        <w:rPr>
          <w:spacing w:val="-3"/>
        </w:rPr>
        <w:t xml:space="preserve">    </w:t>
      </w:r>
      <w:r>
        <w:rPr>
          <w:noProof/>
          <w:spacing w:val="-3"/>
        </w:rPr>
        <w:sym w:font="Wingdings" w:char="F0E0"/>
      </w:r>
      <w:r>
        <w:rPr>
          <w:spacing w:val="-3"/>
        </w:rPr>
        <w:t xml:space="preserve">     Pa + </w:t>
      </w:r>
    </w:p>
    <w:p w:rsidR="0045584C" w:rsidRDefault="0045584C" w:rsidP="0045584C">
      <w:r>
        <w:rPr>
          <w:spacing w:val="-3"/>
        </w:rPr>
        <w:t xml:space="preserve">        </w:t>
      </w:r>
      <w:r>
        <w:rPr>
          <w:spacing w:val="-3"/>
          <w:vertAlign w:val="superscript"/>
        </w:rPr>
        <w:t xml:space="preserve">90                       91                                           </w:t>
      </w:r>
    </w:p>
    <w:p w:rsidR="0045584C" w:rsidRDefault="0045584C" w:rsidP="00455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515"/>
        <w:gridCol w:w="1902"/>
        <w:gridCol w:w="1835"/>
        <w:gridCol w:w="1835"/>
      </w:tblGrid>
      <w:tr w:rsidR="0045584C" w:rsidTr="0045584C">
        <w:tc>
          <w:tcPr>
            <w:tcW w:w="1769" w:type="dxa"/>
            <w:tcBorders>
              <w:top w:val="nil"/>
              <w:left w:val="nil"/>
              <w:bottom w:val="single" w:sz="4" w:space="0" w:color="auto"/>
            </w:tcBorders>
          </w:tcPr>
          <w:p w:rsidR="0045584C" w:rsidRDefault="0045584C" w:rsidP="0045584C"/>
        </w:tc>
        <w:tc>
          <w:tcPr>
            <w:tcW w:w="1515" w:type="dxa"/>
          </w:tcPr>
          <w:p w:rsidR="0045584C" w:rsidRDefault="0045584C" w:rsidP="0045584C">
            <w:r>
              <w:t>Basic Definition</w:t>
            </w:r>
          </w:p>
        </w:tc>
        <w:tc>
          <w:tcPr>
            <w:tcW w:w="1902" w:type="dxa"/>
          </w:tcPr>
          <w:p w:rsidR="0045584C" w:rsidRDefault="0045584C" w:rsidP="0045584C">
            <w:r>
              <w:t>Required Conditions</w:t>
            </w:r>
          </w:p>
        </w:tc>
        <w:tc>
          <w:tcPr>
            <w:tcW w:w="1835" w:type="dxa"/>
          </w:tcPr>
          <w:p w:rsidR="0045584C" w:rsidRDefault="0045584C" w:rsidP="0045584C">
            <w:r>
              <w:t>Energy Released</w:t>
            </w:r>
          </w:p>
        </w:tc>
        <w:tc>
          <w:tcPr>
            <w:tcW w:w="1835" w:type="dxa"/>
          </w:tcPr>
          <w:p w:rsidR="0045584C" w:rsidRDefault="0045584C" w:rsidP="0045584C">
            <w:r>
              <w:t>Products</w:t>
            </w:r>
          </w:p>
        </w:tc>
      </w:tr>
      <w:tr w:rsidR="0045584C" w:rsidTr="0045584C">
        <w:tc>
          <w:tcPr>
            <w:tcW w:w="1769" w:type="dxa"/>
            <w:tcBorders>
              <w:top w:val="single" w:sz="4" w:space="0" w:color="auto"/>
            </w:tcBorders>
          </w:tcPr>
          <w:p w:rsidR="0045584C" w:rsidRDefault="0045584C" w:rsidP="0045584C">
            <w:r>
              <w:t>Fission</w:t>
            </w:r>
          </w:p>
        </w:tc>
        <w:tc>
          <w:tcPr>
            <w:tcW w:w="1515" w:type="dxa"/>
          </w:tcPr>
          <w:p w:rsidR="0045584C" w:rsidRDefault="0045584C" w:rsidP="0045584C"/>
        </w:tc>
        <w:tc>
          <w:tcPr>
            <w:tcW w:w="1902" w:type="dxa"/>
          </w:tcPr>
          <w:p w:rsidR="0045584C" w:rsidRDefault="0045584C" w:rsidP="0045584C"/>
        </w:tc>
        <w:tc>
          <w:tcPr>
            <w:tcW w:w="1835" w:type="dxa"/>
          </w:tcPr>
          <w:p w:rsidR="0045584C" w:rsidRDefault="0045584C" w:rsidP="0045584C"/>
        </w:tc>
        <w:tc>
          <w:tcPr>
            <w:tcW w:w="1835" w:type="dxa"/>
          </w:tcPr>
          <w:p w:rsidR="0045584C" w:rsidRDefault="0045584C" w:rsidP="0045584C"/>
          <w:p w:rsidR="0045584C" w:rsidRDefault="0045584C" w:rsidP="0045584C"/>
        </w:tc>
      </w:tr>
      <w:tr w:rsidR="0045584C" w:rsidTr="0045584C">
        <w:tc>
          <w:tcPr>
            <w:tcW w:w="1769" w:type="dxa"/>
          </w:tcPr>
          <w:p w:rsidR="0045584C" w:rsidRDefault="0045584C" w:rsidP="0045584C">
            <w:r>
              <w:t>Fusion</w:t>
            </w:r>
          </w:p>
        </w:tc>
        <w:tc>
          <w:tcPr>
            <w:tcW w:w="1515" w:type="dxa"/>
          </w:tcPr>
          <w:p w:rsidR="0045584C" w:rsidRDefault="0045584C" w:rsidP="0045584C"/>
        </w:tc>
        <w:tc>
          <w:tcPr>
            <w:tcW w:w="1902" w:type="dxa"/>
          </w:tcPr>
          <w:p w:rsidR="0045584C" w:rsidRDefault="0045584C" w:rsidP="0045584C"/>
        </w:tc>
        <w:tc>
          <w:tcPr>
            <w:tcW w:w="1835" w:type="dxa"/>
          </w:tcPr>
          <w:p w:rsidR="0045584C" w:rsidRDefault="0045584C" w:rsidP="0045584C"/>
        </w:tc>
        <w:tc>
          <w:tcPr>
            <w:tcW w:w="1835" w:type="dxa"/>
          </w:tcPr>
          <w:p w:rsidR="0045584C" w:rsidRDefault="0045584C" w:rsidP="0045584C"/>
          <w:p w:rsidR="0045584C" w:rsidRDefault="0045584C" w:rsidP="0045584C"/>
        </w:tc>
      </w:tr>
    </w:tbl>
    <w:p w:rsidR="0045584C" w:rsidRDefault="0045584C" w:rsidP="0045584C"/>
    <w:p w:rsidR="0045584C" w:rsidRPr="0045584C" w:rsidRDefault="0045584C" w:rsidP="004558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:rsidR="0045584C" w:rsidRPr="0045584C" w:rsidRDefault="0045584C" w:rsidP="004558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45584C">
        <w:rPr>
          <w:rFonts w:ascii="Times New Roman" w:hAnsi="Times New Roman" w:cs="Times New Roman"/>
          <w:b/>
        </w:rPr>
        <w:t>PSc.2.3.2 Exemplify the radioactive decay of unstable nuclei using the concept of half-life.</w:t>
      </w:r>
    </w:p>
    <w:p w:rsidR="0045584C" w:rsidRDefault="0045584C" w:rsidP="0045584C">
      <w:r>
        <w:t xml:space="preserve">Basic Definition: </w:t>
      </w:r>
    </w:p>
    <w:p w:rsidR="0045584C" w:rsidRDefault="0045584C" w:rsidP="0045584C"/>
    <w:p w:rsidR="0045584C" w:rsidRDefault="0045584C" w:rsidP="0045584C">
      <w:r>
        <w:t xml:space="preserve">Example: An isotope of carbon-18 has a half-life of 5 days. An initial sample with a mass of 200 kg decays for 20 days, how much of the original sample is left? </w:t>
      </w:r>
    </w:p>
    <w:p w:rsidR="0045584C" w:rsidRDefault="0045584C" w:rsidP="0045584C"/>
    <w:sectPr w:rsidR="0045584C" w:rsidSect="00B1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1" w:rsidRDefault="00743E21" w:rsidP="00743E21">
      <w:r>
        <w:separator/>
      </w:r>
    </w:p>
  </w:endnote>
  <w:endnote w:type="continuationSeparator" w:id="0">
    <w:p w:rsidR="00743E21" w:rsidRDefault="00743E21" w:rsidP="0074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21" w:rsidRDefault="00743E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21" w:rsidRDefault="00743E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21" w:rsidRDefault="00743E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1" w:rsidRDefault="00743E21" w:rsidP="00743E21">
      <w:r>
        <w:separator/>
      </w:r>
    </w:p>
  </w:footnote>
  <w:footnote w:type="continuationSeparator" w:id="0">
    <w:p w:rsidR="00743E21" w:rsidRDefault="00743E21" w:rsidP="00743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21" w:rsidRDefault="00743E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21" w:rsidRDefault="00743E21" w:rsidP="00743E21">
    <w:pPr>
      <w:pStyle w:val="Header"/>
      <w:jc w:val="right"/>
    </w:pPr>
    <w:r>
      <w:t>Name:__________________________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21" w:rsidRDefault="00743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C"/>
    <w:rsid w:val="0045584C"/>
    <w:rsid w:val="00743E21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21"/>
  </w:style>
  <w:style w:type="paragraph" w:styleId="Footer">
    <w:name w:val="footer"/>
    <w:basedOn w:val="Normal"/>
    <w:link w:val="FooterChar"/>
    <w:uiPriority w:val="99"/>
    <w:unhideWhenUsed/>
    <w:rsid w:val="00743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21"/>
  </w:style>
  <w:style w:type="paragraph" w:styleId="Footer">
    <w:name w:val="footer"/>
    <w:basedOn w:val="Normal"/>
    <w:link w:val="FooterChar"/>
    <w:uiPriority w:val="99"/>
    <w:unhideWhenUsed/>
    <w:rsid w:val="00743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2016-05-10T14:49:00Z</dcterms:created>
  <dcterms:modified xsi:type="dcterms:W3CDTF">2016-05-10T15:08:00Z</dcterms:modified>
</cp:coreProperties>
</file>